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2.png" ContentType="image/png"/>
  <Override PartName="/word/media/rId42.png" ContentType="image/png"/>
  <Override PartName="/word/media/rId27.png" ContentType="image/png"/>
  <Override PartName="/word/media/rId56.png" ContentType="image/png"/>
  <Override PartName="/word/media/rId51.png" ContentType="image/png"/>
  <Override PartName="/word/media/rId47.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May</w:t>
      </w:r>
      <w:r>
        <w:t xml:space="preserve"> </w:t>
      </w:r>
      <w:r>
        <w:t xml:space="preserve">14,</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to</w:t>
      </w:r>
      <w:r>
        <w:t xml:space="preserve"> </w:t>
      </w:r>
      <w:r>
        <w:t xml:space="preserve">better</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5-7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 </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Indeed,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1"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faculty who hold prestigious awards and are widely cited by other scholars,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likewise comparable patterns among disparate disciplines across the humanities, social sciences, and STEM fields;</w:t>
      </w:r>
      <w:r>
        <w:t xml:space="preserve"> </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however, such studies draw attention to the paradox of a discipline committed to fighting social inequalities continuing to reproduce its own systematic inequalities through hiring practices that favor an elite minority of graduates with prestigious institutional affiliations.</w:t>
      </w:r>
    </w:p>
    <w:p>
      <w:pPr>
        <w:pStyle w:val="BodyText"/>
      </w:pPr>
      <w:r>
        <w:t xml:space="preserve">One way that some hiring committees are tackling these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p>
    <w:bookmarkEnd w:id="21"/>
    <w:bookmarkStart w:id="26"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collecting ads originally posted in numerous different locations.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 w:name="fig-panel-wiki-characteristics"/>
          <w:p>
            <w:pPr>
              <w:pStyle w:val="Compact"/>
              <w:jc w:val="center"/>
            </w:pPr>
            <w:r>
              <w:drawing>
                <wp:inline>
                  <wp:extent cx="5943600" cy="5943600"/>
                  <wp:effectExtent b="0" l="0" r="0" t="0"/>
                  <wp:docPr descr="" title="" id="23" name="Picture"/>
                  <a:graphic>
                    <a:graphicData uri="http://schemas.openxmlformats.org/drawingml/2006/picture">
                      <pic:pic>
                        <pic:nvPicPr>
                          <pic:cNvPr descr="article_files/figure-docx/fig-panel-wiki-characteristics-1.png" id="24" name="Picture"/>
                          <pic:cNvPicPr>
                            <a:picLocks noChangeArrowheads="1" noChangeAspect="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edits to each Wiki page (additions and deletions) per year. B: Number of unique editors, as represented by distinct usernames or IP addresses (recorded for editors without usernames), active per year. C: Active periods of individual editors, the black lines connect the date of the first and last edit of all editors that were active for three months or more. D: Typical size of each edit per year, either addition or removal of text, one word is roughly 4-6 Bytes. E: Distribution of the numbers of edits per job ad for each year. F: Histogram showing that the majority of editors are only active on the site for less than one year. G: Breakdown of self-reported Wiki user categories for each year.</w:t>
            </w:r>
          </w:p>
          <w:bookmarkEnd w:id="25"/>
        </w:tc>
      </w:tr>
    </w:tbl>
    <w:p>
      <w:pPr>
        <w:pStyle w:val="BodyText"/>
      </w:pPr>
      <w:r>
        <w:t xml:space="preserve">Because there is no single editorial authority, collaboratively-edited resources such as the Academic Jobs Wiki can be highly variable in the amount and type of activity over time. It is important to characterise this activity to assess the reliability of the content is as a source of information about the job market. We can get some insights into the dynamics of editing activity from the MediaWiki technology used by Academic Jobs Wiki that creates a public record of every act of adding or removing text to any page in the Wiki</w:t>
      </w:r>
      <w:r>
        <w:t xml:space="preserve"> </w:t>
      </w:r>
      <w:r>
        <w:t xml:space="preserve">(Barrett 2008)</w:t>
      </w:r>
      <w:r>
        <w:t xml:space="preserve">.</w:t>
      </w:r>
      <w:r>
        <w:t xml:space="preserve"> </w:t>
      </w:r>
      <w:hyperlink w:anchor="fig-panel-wiki-characteristics">
        <w:r>
          <w:rPr>
            <w:rStyle w:val="Hyperlink"/>
          </w:rPr>
          <w:t xml:space="preserve">Figure 1</w:t>
        </w:r>
      </w:hyperlink>
      <w:r>
        <w:t xml:space="preserve"> </w:t>
      </w:r>
      <w:r>
        <w:t xml:space="preserve">shows the temporal trends in editing of the Academic Jobs Wiki. Every edit includes the author’s identity recorded as either an IP address (a numerical address that includes information about the location of the user’s computer) or a username. Of the 2824 unique editors in our sample, 91% used IP addresses rather than usernames, and geolocation analysis shows that 81% of IP addresses were based in the US, indicating the Wiki is primarily used by archaeologists in the US. The number of edits and editors roughly halved from 2013 to 2017, and continued to gradually decline. Despite this trend, the size of individual edits slightly increases over time, and the number of edits per job ad is relatively constant over time. The majority of editors are active on the site for less than a year (n = r</w:t>
      </w:r>
      <w:r>
        <w:rPr>
          <w:rStyle w:val="VerbatimChar"/>
        </w:rPr>
        <w:t xml:space="preserve">edits_for_each_year_tbl_span_tbl_less_than_one_year</w:t>
      </w:r>
      <w:r>
        <w:t xml:space="preserve">, 89%), perhaps reflecting a single season of job-searching. Editors with a longer history likely come from two groups, job seekers participating in multiple seasons of job applications, and faculty on search committees posting multiple job ads.</w:t>
      </w:r>
    </w:p>
    <w:p>
      <w:pPr>
        <w:pStyle w:val="BodyText"/>
      </w:pPr>
      <w:r>
        <w:t xml:space="preserve">There seems to be a shift over time in the balance of editors in these two groups, as indicated by the number of self-reporting users over time. Panel G of</w:t>
      </w:r>
      <w:r>
        <w:t xml:space="preserve"> </w:t>
      </w:r>
      <w:hyperlink w:anchor="fig-panel-wiki-characteristics">
        <w:r>
          <w:rPr>
            <w:rStyle w:val="Hyperlink"/>
          </w:rPr>
          <w:t xml:space="preserve">Figure 1</w:t>
        </w:r>
      </w:hyperlink>
      <w:r>
        <w:t xml:space="preserve"> </w:t>
      </w:r>
      <w:r>
        <w:t xml:space="preserve">shows the data found on each page in a section labeled</w:t>
      </w:r>
      <w:r>
        <w:t xml:space="preserve"> </w:t>
      </w:r>
      <w:r>
        <w:t xml:space="preserve">‘</w:t>
      </w:r>
      <w:r>
        <w:t xml:space="preserve">current users</w:t>
      </w:r>
      <w:r>
        <w:t xml:space="preserve">’</w:t>
      </w:r>
      <w:r>
        <w:t xml:space="preserve">, where users can volunteer to update a table tracking the status of users. These data indicate that the total number of self-reporting users, from the values recording at</w:t>
      </w:r>
      <w:r>
        <w:t xml:space="preserve"> </w:t>
      </w:r>
      <w:r>
        <w:t xml:space="preserve">‘</w:t>
      </w:r>
      <w:r>
        <w:t xml:space="preserve">How many people use the wiki?</w:t>
      </w:r>
      <w:r>
        <w:t xml:space="preserve">’</w:t>
      </w:r>
      <w:r>
        <w:t xml:space="preserve">, declined by 82% during the study period. At the same time, the proportion of users self-identifying as</w:t>
      </w:r>
      <w:r>
        <w:t xml:space="preserve"> </w:t>
      </w:r>
      <w:r>
        <w:t xml:space="preserve">“</w:t>
      </w:r>
      <w:r>
        <w:t xml:space="preserve">search committee members</w:t>
      </w:r>
      <w:r>
        <w:t xml:space="preserve">”</w:t>
      </w:r>
      <w:r>
        <w:t xml:space="preserve"> </w:t>
      </w:r>
      <w:r>
        <w:t xml:space="preserve">increased, from under 5% in 2014-2018 to over 14% from 2020 onward. This suggests that over time fewer job applicants have been contributing job postings and sharing information about their experiences, and search committee members were increasingly posting job advertisements themselves. Overall the Archaeology Academic Jobs Wiki is best understood not as a comprehensive archive of all jobs posted during the study period, but a biased sample of the job ads that were of most interest to archaeologists applying for jobs in a given year. It represents the jobs that early career applicants were most focused on applying for, and sharing information on.</w:t>
      </w:r>
    </w:p>
    <w:p>
      <w:pPr>
        <w:pStyle w:val="BodyText"/>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https://doi.org/xxx/xx [ for peer reviewers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 ]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6"/>
    <w:bookmarkStart w:id="61"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2</w:t>
        </w:r>
      </w:hyperlink>
      <w:r>
        <w:t xml:space="preserve"> </w:t>
      </w:r>
      <w:r>
        <w:t xml:space="preserve">shows the count of ads for each year, where year refers to the year the job ad was posted.</w:t>
      </w:r>
      <w:r>
        <w:t xml:space="preserve"> </w:t>
      </w:r>
      <w:hyperlink w:anchor="tbl-show-basic-counts">
        <w:r>
          <w:rPr>
            <w:rStyle w:val="Hyperlink"/>
          </w:rPr>
          <w:t xml:space="preserve">Table 1</w:t>
        </w:r>
      </w:hyperlink>
      <w:r>
        <w:t xml:space="preserve"> </w:t>
      </w:r>
      <w:r>
        <w:t xml:space="preserve">shows the breakdown by different job types, ranks, and tenure status.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30" w:name="fig-show-basic-plots"/>
          <w:p>
            <w:pPr>
              <w:pStyle w:val="Compact"/>
              <w:jc w:val="center"/>
            </w:pPr>
            <w:r>
              <w:drawing>
                <wp:inline>
                  <wp:extent cx="5943600" cy="4245428"/>
                  <wp:effectExtent b="0" l="0" r="0" t="0"/>
                  <wp:docPr descr="" title="" id="28" name="Picture"/>
                  <a:graphic>
                    <a:graphicData uri="http://schemas.openxmlformats.org/drawingml/2006/picture">
                      <pic:pic>
                        <pic:nvPicPr>
                          <pic:cNvPr descr="../figures/fig-panel-per-year.png" id="29" name="Picture"/>
                          <pic:cNvPicPr>
                            <a:picLocks noChangeArrowheads="1" noChangeAspect="1"/>
                          </pic:cNvPicPr>
                        </pic:nvPicPr>
                        <pic:blipFill>
                          <a:blip r:embed="rId27"/>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total number of job ads from US institutions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30"/>
        </w:tc>
      </w:tr>
    </w:tbl>
    <w:tbl>
      <w:tblPr>
        <w:tblStyle w:val="Table"/>
        <w:tblW w:type="pct" w:w="5000"/>
        <w:tblLook w:firstRow="0" w:lastRow="0" w:firstColumn="0" w:lastColumn="0" w:noHBand="0" w:noVBand="0" w:val="0000"/>
        <w:jc w:val="start"/>
        <w:tblLayout w:type="fixed"/>
      </w:tblPr>
      <w:tblGrid>
        <w:gridCol w:w="7920"/>
      </w:tblGrid>
      <w:tr>
        <w:tc>
          <w:tcPr/>
          <w:bookmarkStart w:id="31" w:name="tbl-show-basic-counts"/>
          <w:p>
            <w:pPr>
              <w:jc w:val="center"/>
            </w:pPr>
            <w:pPr>
              <w:jc w:val="start"/>
              <w:spacing w:before="200"/>
              <w:pStyle w:val="ImageCaption"/>
            </w:pPr>
            <w:r>
              <w:t xml:space="preserve">Table 1: Breakdown of counts of job ads by rank and tenure status. Values in parentheses are for the United States only. TT = tenure-track, US-only, NTT = non-tenure-track, US and elsewhere. Not all ads include unambiguous information about tenure status, so the sum of TT and NTT does not equal the sum of all jobs in all ranks.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6"/>
              <w:gridCol w:w="1473"/>
              <w:gridCol w:w="1512"/>
              <w:gridCol w:w="1130"/>
              <w:gridCol w:w="975"/>
              <w:gridCol w:w="2087"/>
              <w:gridCol w:w="438"/>
              <w:gridCol w:w="539"/>
            </w:tblGrid>
            <w:tr>
              <w:trPr>
                <w:trHeight w:val="39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Year ad posted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Assistant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Associate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Full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Open 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Other (Curator, Director, etc.)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NTT</w:t>
                  </w:r>
                </w:p>
              </w:tc>
            </w:tr>
            <w:tr>
              <w:trPr>
                <w:trHeight w:val="3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2012-2013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24</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2013-2014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77</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2014-2015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9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w:t>
                  </w:r>
                </w:p>
              </w:tc>
            </w:tr>
            <w:tr>
              <w:trPr>
                <w:trHeight w:val="3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2015-2016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2017-2018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2018-2019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2019-2020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2020-2021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w:t>
                  </w:r>
                </w:p>
              </w:tc>
            </w:tr>
            <w:tr>
              <w:trPr>
                <w:trHeight w:val="39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2021-2022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w:t>
                  </w:r>
                </w:p>
              </w:tc>
            </w:tr>
            <w:tr>
              <w:trPr>
                <w:trHeight w:val="397"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67 (41)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10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126</w:t>
                  </w:r>
                </w:p>
              </w:tc>
            </w:tr>
          </w:tbl>
          <w:bookmarkEnd w:id="31"/>
        </w:tc>
      </w:tr>
    </w:tbl>
    <w:bookmarkStart w:id="36"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5" w:name="Xb6ce60108169ab29fd4ed84e6becc1ec8f0f199"/>
          <w:p>
            <w:pPr>
              <w:pStyle w:val="Compact"/>
              <w:jc w:val="center"/>
            </w:pPr>
            <w:r>
              <w:drawing>
                <wp:inline>
                  <wp:extent cx="5943600" cy="3467100"/>
                  <wp:effectExtent b="0" l="0" r="0" t="0"/>
                  <wp:docPr descr="" title="" id="33" name="Picture"/>
                  <a:graphic>
                    <a:graphicData uri="http://schemas.openxmlformats.org/drawingml/2006/picture">
                      <pic:pic>
                        <pic:nvPicPr>
                          <pic:cNvPr descr="../figures/fig-map-and-carnegie-classification-hand-edit.png" id="34" name="Picture"/>
                          <pic:cNvPicPr>
                            <a:picLocks noChangeArrowheads="1" noChangeAspect="1"/>
                          </pic:cNvPicPr>
                        </pic:nvPicPr>
                        <pic:blipFill>
                          <a:blip r:embed="rId32"/>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hiring institution by Carnegie classification. B: Inset shows map of the United States showing the count of tenure-track job ads posted by all insititutions in each state during 2013 – 2023</w:t>
            </w:r>
          </w:p>
          <w:bookmarkEnd w:id="35"/>
        </w:tc>
      </w:tr>
    </w:tbl>
    <w:p>
      <w:pPr>
        <w:pStyle w:val="BodyText"/>
      </w:pPr>
      <w:r>
        <w:t xml:space="preserve">Panel A of</w:t>
      </w:r>
      <w:r>
        <w:t xml:space="preserve"> </w:t>
      </w:r>
      <w:hyperlink w:anchor="Xb6ce60108169ab29fd4ed84e6becc1ec8f0f199">
        <w:r>
          <w:rPr>
            <w:rStyle w:val="Hyperlink"/>
          </w:rPr>
          <w:t xml:space="preserve">Figure 3</w:t>
        </w:r>
      </w:hyperlink>
      <w:r>
        <w:t xml:space="preserve"> </w:t>
      </w:r>
      <w:r>
        <w:t xml:space="preserve">shows the frequencies of institutions according to their Carnegie Classification, a framework for classifying US colleges and universities according to the types of degrees awarded, levels of activity such as research,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3</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6"/>
    <w:bookmarkStart w:id="41"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40" w:name="fig-show-geo-trends"/>
          <w:p>
            <w:pPr>
              <w:pStyle w:val="Compact"/>
              <w:jc w:val="center"/>
            </w:pPr>
            <w:r>
              <w:drawing>
                <wp:inline>
                  <wp:extent cx="5943600" cy="7429499"/>
                  <wp:effectExtent b="0" l="0" r="0" t="0"/>
                  <wp:docPr descr="" title="" id="38" name="Picture"/>
                  <a:graphic>
                    <a:graphicData uri="http://schemas.openxmlformats.org/drawingml/2006/picture">
                      <pic:pic>
                        <pic:nvPicPr>
                          <pic:cNvPr descr="../figures/fig-geo-focus-by-year.png" id="39"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40"/>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4</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location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41"/>
    <w:bookmarkStart w:id="46"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5" w:name="fig-show-metho-trends"/>
          <w:p>
            <w:pPr>
              <w:pStyle w:val="Compact"/>
              <w:jc w:val="center"/>
            </w:pPr>
            <w:r>
              <w:drawing>
                <wp:inline>
                  <wp:extent cx="5943600" cy="7429499"/>
                  <wp:effectExtent b="0" l="0" r="0" t="0"/>
                  <wp:docPr descr="" title="" id="43" name="Picture"/>
                  <a:graphic>
                    <a:graphicData uri="http://schemas.openxmlformats.org/drawingml/2006/picture">
                      <pic:pic>
                        <pic:nvPicPr>
                          <pic:cNvPr descr="../figures/fig-method-focus-by-year.png" id="44" name="Picture"/>
                          <pic:cNvPicPr>
                            <a:picLocks noChangeArrowheads="1" noChangeAspect="1"/>
                          </pic:cNvPicPr>
                        </pic:nvPicPr>
                        <pic:blipFill>
                          <a:blip r:embed="rId42"/>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5"/>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5</w:t>
        </w:r>
      </w:hyperlink>
      <w:r>
        <w:t xml:space="preserve">. The popularity of this suite of methods may reflect its importance as a skill in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6"/>
    <w:bookmarkStart w:id="55"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50" w:name="fig-show-topi-trends"/>
          <w:p>
            <w:pPr>
              <w:pStyle w:val="Compact"/>
              <w:jc w:val="center"/>
            </w:pPr>
            <w:r>
              <w:drawing>
                <wp:inline>
                  <wp:extent cx="5943600" cy="7429499"/>
                  <wp:effectExtent b="0" l="0" r="0" t="0"/>
                  <wp:docPr descr="" title="" id="48" name="Picture"/>
                  <a:graphic>
                    <a:graphicData uri="http://schemas.openxmlformats.org/drawingml/2006/picture">
                      <pic:pic>
                        <pic:nvPicPr>
                          <pic:cNvPr descr="../figures/fig-topic-focus-by-year.png" id="49" name="Picture"/>
                          <pic:cNvPicPr>
                            <a:picLocks noChangeArrowheads="1" noChangeAspect="1"/>
                          </pic:cNvPicPr>
                        </pic:nvPicPr>
                        <pic:blipFill>
                          <a:blip r:embed="rId47"/>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50"/>
        </w:tc>
      </w:tr>
    </w:tbl>
    <w:p>
      <w:pPr>
        <w:pStyle w:val="BodyText"/>
      </w:pPr>
      <w:r>
        <w:t xml:space="preserve">The most frequently mentioned topic in the job ads is Environmental archaeology</w:t>
      </w:r>
      <w:r>
        <w:t xml:space="preserve"> </w:t>
      </w:r>
      <w:hyperlink w:anchor="fig-show-topi-trends">
        <w:r>
          <w:rPr>
            <w:rStyle w:val="Hyperlink"/>
          </w:rPr>
          <w:t xml:space="preserve">Figure 6</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4" w:name="fig-show-cooc"/>
          <w:p>
            <w:pPr>
              <w:pStyle w:val="Compact"/>
              <w:jc w:val="center"/>
            </w:pPr>
            <w:r>
              <w:drawing>
                <wp:inline>
                  <wp:extent cx="5943600" cy="5943600"/>
                  <wp:effectExtent b="0" l="0" r="0" t="0"/>
                  <wp:docPr descr="" title="" id="52" name="Picture"/>
                  <a:graphic>
                    <a:graphicData uri="http://schemas.openxmlformats.org/drawingml/2006/picture">
                      <pic:pic>
                        <pic:nvPicPr>
                          <pic:cNvPr descr="../figures/fig-topic-cooc-heatmap.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Heatmap of topic co-occurrance in job ads.</w:t>
            </w:r>
          </w:p>
          <w:bookmarkEnd w:id="54"/>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7</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5"/>
    <w:bookmarkStart w:id="60"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9" w:name="fig-requirements-over-time"/>
          <w:p>
            <w:pPr>
              <w:pStyle w:val="Compact"/>
              <w:jc w:val="center"/>
            </w:pPr>
            <w:r>
              <w:drawing>
                <wp:inline>
                  <wp:extent cx="5943600" cy="2971800"/>
                  <wp:effectExtent b="0" l="0" r="0" t="0"/>
                  <wp:docPr descr="" title="" id="57" name="Picture"/>
                  <a:graphic>
                    <a:graphicData uri="http://schemas.openxmlformats.org/drawingml/2006/picture">
                      <pic:pic>
                        <pic:nvPicPr>
                          <pic:cNvPr descr="../figures/fig-requirements-per-year.png" id="58" name="Picture"/>
                          <pic:cNvPicPr>
                            <a:picLocks noChangeArrowheads="1" noChangeAspect="1"/>
                          </pic:cNvPicPr>
                        </pic:nvPicPr>
                        <pic:blipFill>
                          <a:blip r:embed="rId5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Changing requirements in job ads over time.</w:t>
            </w:r>
            <w:r>
              <w:t xml:space="preserve"> </w:t>
            </w:r>
            <w:r>
              <w:t xml:space="preserve">‘</w:t>
            </w:r>
            <w:r>
              <w:t xml:space="preserve">Count</w:t>
            </w:r>
            <w:r>
              <w:t xml:space="preserve">’</w:t>
            </w:r>
            <w:r>
              <w:t xml:space="preserve"> </w:t>
            </w:r>
            <w:r>
              <w:t xml:space="preserve">refers to the number of each item required.</w:t>
            </w:r>
          </w:p>
          <w:bookmarkEnd w:id="59"/>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8</w:t>
        </w:r>
      </w:hyperlink>
      <w:r>
        <w:t xml:space="preserve">. Requests for cover letter and CV decline slightly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bookmarkEnd w:id="60"/>
    <w:bookmarkEnd w:id="61"/>
    <w:bookmarkStart w:id="62"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maybe affected by a variety of factors.</w:t>
      </w:r>
    </w:p>
    <w:p>
      <w:pPr>
        <w:pStyle w:val="BodyText"/>
      </w:pPr>
      <w:r>
        <w:t xml:space="preserve">Overall, we found more tenure-track jobs advertised each year than non-tenure-track, with the exception of 2013-2014. This is at odds with previous work that has shown that contingent positions make up more than half of faculty positions</w:t>
      </w:r>
      <w:r>
        <w:t xml:space="preserve"> </w:t>
      </w:r>
      <w:r>
        <w:t xml:space="preserve">(American Association of University Professors 2022b)</w:t>
      </w:r>
      <w:r>
        <w:t xml:space="preserve">, and that these numbers are increasing— between 2004 and 2019, for example, there was a 36% increase in the replacement of tenure-track positions by contingent positions</w:t>
      </w:r>
      <w:r>
        <w:t xml:space="preserve"> </w:t>
      </w:r>
      <w:r>
        <w:t xml:space="preserve">(American Association of University Professors 2022a)</w:t>
      </w:r>
      <w:r>
        <w:t xml:space="preserve">. This discrepancy in our data set may be due to several factors. The more limited circulation of advertising for short-term positions relative to advertising for tenure-track jobs. Many of these short-term positions are not advertised nationally, but only through local email lists and are filled by people close to the hiring department, such as recently graduated students. Another factor is bias in our data, with most Wiki users likely seeking a tenure-track job, non-tenure-track jobs are may have been less frequently added to the Academic Jobs Wiki because they were peripheral to the goal of most users. This bias limits the reliability of our results on the ratio of tenure-track to non-tenure-track.</w:t>
      </w:r>
    </w:p>
    <w:p>
      <w:pPr>
        <w:pStyle w:val="BodyText"/>
      </w:pPr>
      <w:r>
        <w:t xml:space="preserve">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the Mediterranean and Near East and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however,it is illegal in the US for universities use race or ethnicity as a primary factor in hiring. As a result, universities appear to have tailored the content of their job ads to focus on topics where they expect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the archaeology of complex societies and archaeological science, the geographic foci of Mesoamerica and South America, and methods relating to landscape archaeology. These trends are harder to explain as we cannot link their origins to a historical event like the COVID-19 pandemic.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w:t>
      </w:r>
      <w:r>
        <w:t xml:space="preserve"> </w:t>
      </w:r>
      <w:r>
        <w:t xml:space="preserve">(Fogelin 2019; Hodder 1999;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witgh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bookmarkEnd w:id="62"/>
    <w:bookmarkStart w:id="63"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have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result is consistent with prior findings, such</w:t>
      </w:r>
      <w:r>
        <w:t xml:space="preserve"> </w:t>
      </w:r>
      <w:r>
        <w:t xml:space="preserve">Wilk (1985)</w:t>
      </w:r>
      <w:r>
        <w:t xml:space="preserve">’s analysis of publications that identified trends in the explanations of the Maya collapse during the 1960s-1970s that corresponded with major contemporary American political and social issues. This continual responsiveness to current events demonstrates that many archaeologists accept that our narratives of the past are entangled in the social and political milieu in which we work. Furthermore, it shows an active effort by archaeologists to take control of interpreting the past.</w:t>
      </w:r>
    </w:p>
    <w:bookmarkEnd w:id="63"/>
    <w:bookmarkStart w:id="64"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who contributed to the wiki but don’t have a tenure-track job, we hope this paper shows your efforts were not wasted, but were a contribution to more accurate expectation-setting for future generations of archaeologists.</w:t>
      </w:r>
    </w:p>
    <w:bookmarkEnd w:id="64"/>
    <w:bookmarkStart w:id="65" w:name="data-availability-statement"/>
    <w:p>
      <w:pPr>
        <w:pStyle w:val="Heading1"/>
      </w:pPr>
      <w:r>
        <w:t xml:space="preserve">Data Availability Statement</w:t>
      </w:r>
    </w:p>
    <w:p>
      <w:pPr>
        <w:pStyle w:val="FirstParagraph"/>
      </w:pPr>
      <w:r>
        <w:t xml:space="preserve">The data that support the findings of this study are openly available in Zenodo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bookmarkEnd w:id="65"/>
    <w:bookmarkStart w:id="66"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6"/>
    <w:bookmarkStart w:id="67" w:name="competing-interests-statement"/>
    <w:p>
      <w:pPr>
        <w:pStyle w:val="Heading1"/>
      </w:pPr>
      <w:r>
        <w:t xml:space="preserve">Competing Interests Statement</w:t>
      </w:r>
    </w:p>
    <w:p>
      <w:pPr>
        <w:pStyle w:val="FirstParagraph"/>
      </w:pPr>
      <w:r>
        <w:t xml:space="preserve">Competing interests: The authors declare none</w:t>
      </w:r>
    </w:p>
    <w:bookmarkEnd w:id="67"/>
    <w:bookmarkStart w:id="68" w:name="supplementary-materials"/>
    <w:p>
      <w:pPr>
        <w:pStyle w:val="Heading1"/>
      </w:pPr>
      <w:r>
        <w:t xml:space="preserve">Supplementary materials</w:t>
      </w:r>
    </w:p>
    <w:p>
      <w:pPr>
        <w:pStyle w:val="FirstParagraph"/>
      </w:pPr>
      <w:r>
        <w:t xml:space="preserve">Our supplementary materials are available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p>
      <w:r>
        <w:br w:type="page"/>
      </w:r>
    </w:p>
    <w:bookmarkEnd w:id="68"/>
    <w:bookmarkStart w:id="168" w:name="references-cited"/>
    <w:p>
      <w:pPr>
        <w:pStyle w:val="Heading1"/>
      </w:pPr>
      <w:r>
        <w:t xml:space="preserve">References cited</w:t>
      </w:r>
    </w:p>
    <w:bookmarkStart w:id="166" w:name="refs"/>
    <w:bookmarkStart w:id="70"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69">
        <w:r>
          <w:rPr>
            <w:rStyle w:val="Hyperlink"/>
          </w:rPr>
          <w:t xml:space="preserve">https://employers.americananthro.org/static-page/10285/job-board-policies/</w:t>
        </w:r>
      </w:hyperlink>
      <w:r>
        <w:t xml:space="preserve">, accessed January 26, 2025.</w:t>
      </w:r>
    </w:p>
    <w:bookmarkEnd w:id="70"/>
    <w:bookmarkStart w:id="72"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71">
        <w:r>
          <w:rPr>
            <w:rStyle w:val="Hyperlink"/>
          </w:rPr>
          <w:t xml:space="preserve">https://www.aaup.org/report/annual-report-economic-status-profession-2021-22</w:t>
        </w:r>
      </w:hyperlink>
      <w:r>
        <w:t xml:space="preserve">, accessed January 26, 2025.</w:t>
      </w:r>
    </w:p>
    <w:bookmarkEnd w:id="72"/>
    <w:bookmarkStart w:id="74"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3">
        <w:r>
          <w:rPr>
            <w:rStyle w:val="Hyperlink"/>
          </w:rPr>
          <w:t xml:space="preserve">https://www.aaup.org/report/2022-aaup-survey-tenure-practices</w:t>
        </w:r>
      </w:hyperlink>
      <w:r>
        <w:t xml:space="preserve">, accessed January 26, 2025.</w:t>
      </w:r>
    </w:p>
    <w:bookmarkEnd w:id="74"/>
    <w:bookmarkStart w:id="76"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5">
        <w:r>
          <w:rPr>
            <w:rStyle w:val="Hyperlink"/>
          </w:rPr>
          <w:t xml:space="preserve">10.1111/j.1460-2466.2010.01487.x</w:t>
        </w:r>
      </w:hyperlink>
      <w:r>
        <w:t xml:space="preserve">.</w:t>
      </w:r>
    </w:p>
    <w:bookmarkEnd w:id="76"/>
    <w:bookmarkStart w:id="77" w:name="ref-barrett2008mediawiki"/>
    <w:p>
      <w:pPr>
        <w:pStyle w:val="Bibliography"/>
      </w:pPr>
      <w:r>
        <w:t xml:space="preserve">Barrett, Daniel J</w:t>
      </w:r>
      <w:r>
        <w:t xml:space="preserve"> </w:t>
      </w:r>
      <w:r>
        <w:t xml:space="preserve">2008</w:t>
      </w:r>
      <w:r>
        <w:t xml:space="preserve">	</w:t>
      </w:r>
      <w:r>
        <w:rPr>
          <w:iCs/>
          <w:i/>
        </w:rPr>
        <w:t xml:space="preserve">MediaWiki</w:t>
      </w:r>
      <w:r>
        <w:t xml:space="preserve">. O’Reilly Media, Inc.</w:t>
      </w:r>
    </w:p>
    <w:bookmarkEnd w:id="77"/>
    <w:bookmarkStart w:id="78"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78"/>
    <w:bookmarkStart w:id="79"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79"/>
    <w:bookmarkStart w:id="81"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80">
        <w:r>
          <w:rPr>
            <w:rStyle w:val="Hyperlink"/>
          </w:rPr>
          <w:t xml:space="preserve">10.1017/eaa.2022.41</w:t>
        </w:r>
      </w:hyperlink>
      <w:r>
        <w:t xml:space="preserve">.</w:t>
      </w:r>
    </w:p>
    <w:bookmarkEnd w:id="81"/>
    <w:bookmarkStart w:id="83"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82">
        <w:r>
          <w:rPr>
            <w:rStyle w:val="Hyperlink"/>
          </w:rPr>
          <w:t xml:space="preserve">10.48550/arXiv.1803.00125</w:t>
        </w:r>
      </w:hyperlink>
      <w:r>
        <w:t xml:space="preserve">.</w:t>
      </w:r>
    </w:p>
    <w:bookmarkEnd w:id="83"/>
    <w:bookmarkStart w:id="85" w:name="ref-clauset2015"/>
    <w:p>
      <w:pPr>
        <w:pStyle w:val="Bibliography"/>
      </w:pPr>
      <w:r>
        <w:t xml:space="preserve">Clauset, Aaron, Samuel Arbesman, and Daniel B. Larremore</w:t>
      </w:r>
      <w:r>
        <w:t xml:space="preserve"> </w:t>
      </w:r>
      <w:r>
        <w:t xml:space="preserve">2015</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84">
        <w:r>
          <w:rPr>
            <w:rStyle w:val="Hyperlink"/>
          </w:rPr>
          <w:t xml:space="preserve">10.1126/sciadv.1400005</w:t>
        </w:r>
      </w:hyperlink>
      <w:r>
        <w:t xml:space="preserve">.</w:t>
      </w:r>
    </w:p>
    <w:bookmarkEnd w:id="85"/>
    <w:bookmarkStart w:id="87"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86">
        <w:r>
          <w:rPr>
            <w:rStyle w:val="Hyperlink"/>
          </w:rPr>
          <w:t xml:space="preserve">10.1017/aap.2022.8</w:t>
        </w:r>
      </w:hyperlink>
      <w:r>
        <w:t xml:space="preserve">, accessed October 16, 2024.</w:t>
      </w:r>
    </w:p>
    <w:bookmarkEnd w:id="87"/>
    <w:bookmarkStart w:id="89" w:name="ref-culver"/>
    <w:p>
      <w:pPr>
        <w:pStyle w:val="Bibliography"/>
      </w:pPr>
      <w:r>
        <w:t xml:space="preserve">Culver, KC, and Adrianna Kezar</w:t>
      </w:r>
      <w:r>
        <w:t xml:space="preserve"> </w:t>
      </w:r>
      <w:r>
        <w:t xml:space="preserve">2022</w:t>
      </w:r>
      <w:r>
        <w:t xml:space="preserve">	</w:t>
      </w:r>
      <w:hyperlink r:id="rId88">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89"/>
    <w:bookmarkStart w:id="91"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90">
        <w:r>
          <w:rPr>
            <w:rStyle w:val="Hyperlink"/>
          </w:rPr>
          <w:t xml:space="preserve">10.1111/aman.13781</w:t>
        </w:r>
      </w:hyperlink>
      <w:r>
        <w:t xml:space="preserve">, accessed October 22, 2024.</w:t>
      </w:r>
    </w:p>
    <w:bookmarkEnd w:id="91"/>
    <w:bookmarkStart w:id="93"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92">
        <w:r>
          <w:rPr>
            <w:rStyle w:val="Hyperlink"/>
          </w:rPr>
          <w:t xml:space="preserve">10.1073/pnas.2117320119</w:t>
        </w:r>
      </w:hyperlink>
      <w:r>
        <w:t xml:space="preserve">.</w:t>
      </w:r>
    </w:p>
    <w:bookmarkEnd w:id="93"/>
    <w:bookmarkStart w:id="94"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94"/>
    <w:bookmarkStart w:id="96"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95">
        <w:r>
          <w:rPr>
            <w:rStyle w:val="Hyperlink"/>
          </w:rPr>
          <w:t xml:space="preserve">10.1007/s11192-021-03917-y</w:t>
        </w:r>
      </w:hyperlink>
      <w:r>
        <w:t xml:space="preserve">.</w:t>
      </w:r>
    </w:p>
    <w:bookmarkEnd w:id="96"/>
    <w:bookmarkStart w:id="98"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97">
        <w:r>
          <w:rPr>
            <w:rStyle w:val="Hyperlink"/>
          </w:rPr>
          <w:t xml:space="preserve">10.1017/aaq.2021.18</w:t>
        </w:r>
      </w:hyperlink>
      <w:r>
        <w:t xml:space="preserve">.</w:t>
      </w:r>
    </w:p>
    <w:bookmarkEnd w:id="98"/>
    <w:bookmarkStart w:id="100"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99">
        <w:r>
          <w:rPr>
            <w:rStyle w:val="Hyperlink"/>
          </w:rPr>
          <w:t xml:space="preserve">https://arizona.academia.edu/LarsFogelin</w:t>
        </w:r>
      </w:hyperlink>
      <w:r>
        <w:t xml:space="preserve">, accessed January 26, 2025.</w:t>
      </w:r>
    </w:p>
    <w:bookmarkEnd w:id="100"/>
    <w:bookmarkStart w:id="102"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101">
        <w:r>
          <w:rPr>
            <w:rStyle w:val="Hyperlink"/>
          </w:rPr>
          <w:t xml:space="preserve">10.1007/s10761-020-00577-1</w:t>
        </w:r>
      </w:hyperlink>
      <w:r>
        <w:t xml:space="preserve">.</w:t>
      </w:r>
    </w:p>
    <w:bookmarkEnd w:id="102"/>
    <w:bookmarkStart w:id="104"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103">
        <w:r>
          <w:rPr>
            <w:rStyle w:val="Hyperlink"/>
          </w:rPr>
          <w:t xml:space="preserve">https://www.anthropology-news.org/articles/hello-to-tristes-tropes/</w:t>
        </w:r>
      </w:hyperlink>
      <w:r>
        <w:t xml:space="preserve">, accessed August 2, 2022.</w:t>
      </w:r>
    </w:p>
    <w:bookmarkEnd w:id="104"/>
    <w:bookmarkStart w:id="106"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05">
        <w:r>
          <w:rPr>
            <w:rStyle w:val="Hyperlink"/>
          </w:rPr>
          <w:t xml:space="preserve">10.1002/sres.2324</w:t>
        </w:r>
      </w:hyperlink>
      <w:r>
        <w:t xml:space="preserve">.</w:t>
      </w:r>
    </w:p>
    <w:bookmarkEnd w:id="106"/>
    <w:bookmarkStart w:id="107"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07"/>
    <w:bookmarkStart w:id="108"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08"/>
    <w:bookmarkStart w:id="110"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09">
        <w:r>
          <w:rPr>
            <w:rStyle w:val="Hyperlink"/>
          </w:rPr>
          <w:t xml:space="preserve">https://www.higheredjobs.com/Articles/articleDisplay.cfm?ID=3948</w:t>
        </w:r>
      </w:hyperlink>
      <w:r>
        <w:t xml:space="preserve">, accessed November 1, 2024.</w:t>
      </w:r>
    </w:p>
    <w:bookmarkEnd w:id="110"/>
    <w:bookmarkStart w:id="112"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11">
        <w:r>
          <w:rPr>
            <w:rStyle w:val="Hyperlink"/>
          </w:rPr>
          <w:t xml:space="preserve">10.1111/amet.12520</w:t>
        </w:r>
      </w:hyperlink>
      <w:r>
        <w:t xml:space="preserve">.</w:t>
      </w:r>
    </w:p>
    <w:bookmarkEnd w:id="112"/>
    <w:bookmarkStart w:id="113"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13"/>
    <w:bookmarkStart w:id="114"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14"/>
    <w:bookmarkStart w:id="116"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15">
        <w:r>
          <w:rPr>
            <w:rStyle w:val="Hyperlink"/>
          </w:rPr>
          <w:t xml:space="preserve">10.1093/geront/gnw001</w:t>
        </w:r>
      </w:hyperlink>
      <w:r>
        <w:t xml:space="preserve">.</w:t>
      </w:r>
    </w:p>
    <w:bookmarkEnd w:id="116"/>
    <w:bookmarkStart w:id="118"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17">
        <w:r>
          <w:rPr>
            <w:rStyle w:val="Hyperlink"/>
          </w:rPr>
          <w:t xml:space="preserve">10.1111/aman.13158</w:t>
        </w:r>
      </w:hyperlink>
      <w:r>
        <w:t xml:space="preserve">, accessed October 31, 2024.</w:t>
      </w:r>
    </w:p>
    <w:bookmarkEnd w:id="118"/>
    <w:bookmarkStart w:id="119"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19"/>
    <w:bookmarkStart w:id="120"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20"/>
    <w:bookmarkStart w:id="122"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21">
        <w:r>
          <w:rPr>
            <w:rStyle w:val="Hyperlink"/>
          </w:rPr>
          <w:t xml:space="preserve">10.1017/aaq.2022.59</w:t>
        </w:r>
      </w:hyperlink>
      <w:r>
        <w:t xml:space="preserve">.</w:t>
      </w:r>
    </w:p>
    <w:bookmarkEnd w:id="122"/>
    <w:bookmarkStart w:id="124"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23">
        <w:r>
          <w:rPr>
            <w:rStyle w:val="Hyperlink"/>
          </w:rPr>
          <w:t xml:space="preserve">10.1002/sres.2210</w:t>
        </w:r>
      </w:hyperlink>
      <w:r>
        <w:t xml:space="preserve">.</w:t>
      </w:r>
    </w:p>
    <w:bookmarkEnd w:id="124"/>
    <w:bookmarkStart w:id="125"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25"/>
    <w:bookmarkStart w:id="126"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26"/>
    <w:bookmarkStart w:id="128"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27">
        <w:r>
          <w:rPr>
            <w:rStyle w:val="Hyperlink"/>
          </w:rPr>
          <w:t xml:space="preserve">10.7326/M20-6306</w:t>
        </w:r>
      </w:hyperlink>
      <w:r>
        <w:t xml:space="preserve">.</w:t>
      </w:r>
    </w:p>
    <w:bookmarkEnd w:id="128"/>
    <w:bookmarkStart w:id="130"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29">
        <w:r>
          <w:rPr>
            <w:rStyle w:val="Hyperlink"/>
          </w:rPr>
          <w:t xml:space="preserve">10.1371/journal.pone.0285330</w:t>
        </w:r>
      </w:hyperlink>
      <w:r>
        <w:t xml:space="preserve">.</w:t>
      </w:r>
    </w:p>
    <w:bookmarkEnd w:id="130"/>
    <w:bookmarkStart w:id="132"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31">
        <w:r>
          <w:rPr>
            <w:rStyle w:val="Hyperlink"/>
          </w:rPr>
          <w:t xml:space="preserve">10.1007/s10816-015-9272-9</w:t>
        </w:r>
      </w:hyperlink>
      <w:r>
        <w:t xml:space="preserve">.</w:t>
      </w:r>
    </w:p>
    <w:bookmarkEnd w:id="132"/>
    <w:bookmarkStart w:id="133"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33"/>
    <w:bookmarkStart w:id="135"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34">
        <w:r>
          <w:rPr>
            <w:rStyle w:val="Hyperlink"/>
          </w:rPr>
          <w:t xml:space="preserve">10.1017/aap.2023.21</w:t>
        </w:r>
      </w:hyperlink>
      <w:r>
        <w:t xml:space="preserve">.</w:t>
      </w:r>
    </w:p>
    <w:bookmarkEnd w:id="135"/>
    <w:bookmarkStart w:id="136"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36"/>
    <w:bookmarkStart w:id="138"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37">
        <w:r>
          <w:rPr>
            <w:rStyle w:val="Hyperlink"/>
          </w:rPr>
          <w:t xml:space="preserve">https://nces.ed.gov/ipeds/</w:t>
        </w:r>
      </w:hyperlink>
      <w:r>
        <w:t xml:space="preserve">, accessed January 25, 2025.</w:t>
      </w:r>
    </w:p>
    <w:bookmarkEnd w:id="138"/>
    <w:bookmarkStart w:id="140"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39">
        <w:r>
          <w:rPr>
            <w:rStyle w:val="Hyperlink"/>
          </w:rPr>
          <w:t xml:space="preserve">10.1111/cars.12252</w:t>
        </w:r>
      </w:hyperlink>
      <w:r>
        <w:t xml:space="preserve">.</w:t>
      </w:r>
    </w:p>
    <w:bookmarkEnd w:id="140"/>
    <w:bookmarkStart w:id="142"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41">
        <w:r>
          <w:rPr>
            <w:rStyle w:val="Hyperlink"/>
          </w:rPr>
          <w:t xml:space="preserve">10.1002/ajpa.23457</w:t>
        </w:r>
      </w:hyperlink>
      <w:r>
        <w:t xml:space="preserve">.</w:t>
      </w:r>
    </w:p>
    <w:bookmarkEnd w:id="142"/>
    <w:bookmarkStart w:id="144"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43">
        <w:r>
          <w:rPr>
            <w:rStyle w:val="Hyperlink"/>
          </w:rPr>
          <w:t xml:space="preserve">https://culanth.org/fieldsights/academic-precarity-in-american-anthropology</w:t>
        </w:r>
      </w:hyperlink>
      <w:r>
        <w:t xml:space="preserve">, accessed October 31, 2024.</w:t>
      </w:r>
    </w:p>
    <w:bookmarkEnd w:id="144"/>
    <w:bookmarkStart w:id="146" w:name="ref-rlanguage"/>
    <w:p>
      <w:pPr>
        <w:pStyle w:val="Bibliography"/>
      </w:pPr>
      <w:r>
        <w:t xml:space="preserve">R Core Team</w:t>
      </w:r>
      <w:r>
        <w:t xml:space="preserve"> </w:t>
      </w:r>
      <w:r>
        <w:t xml:space="preserve">2024</w:t>
      </w:r>
      <w:r>
        <w:t xml:space="preserve">	</w:t>
      </w:r>
      <w:hyperlink r:id="rId145">
        <w:r>
          <w:rPr>
            <w:rStyle w:val="Hyperlink"/>
            <w:iCs/>
            <w:i/>
          </w:rPr>
          <w:t xml:space="preserve">R: A language and environment for statistical computing</w:t>
        </w:r>
      </w:hyperlink>
      <w:r>
        <w:t xml:space="preserve">. R Foundation for Statistical Computing, Vienna, Austria.</w:t>
      </w:r>
    </w:p>
    <w:bookmarkEnd w:id="146"/>
    <w:bookmarkStart w:id="147"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47"/>
    <w:bookmarkStart w:id="149"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48">
        <w:r>
          <w:rPr>
            <w:rStyle w:val="Hyperlink"/>
          </w:rPr>
          <w:t xml:space="preserve">10.1515/opar-2022-0309</w:t>
        </w:r>
      </w:hyperlink>
      <w:r>
        <w:t xml:space="preserve">.</w:t>
      </w:r>
    </w:p>
    <w:bookmarkEnd w:id="149"/>
    <w:bookmarkStart w:id="150"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50"/>
    <w:bookmarkStart w:id="151"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51"/>
    <w:bookmarkStart w:id="153" w:name="ref-soucek2021diversity"/>
    <w:p>
      <w:pPr>
        <w:pStyle w:val="Bibliography"/>
      </w:pPr>
      <w:r>
        <w:t xml:space="preserve">Soucek, Brian</w:t>
      </w:r>
      <w:r>
        <w:t xml:space="preserve"> </w:t>
      </w:r>
      <w:r>
        <w:t xml:space="preserve">2022</w:t>
      </w:r>
      <w:r>
        <w:t xml:space="preserve">	</w:t>
      </w:r>
      <w:hyperlink r:id="rId152">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53"/>
    <w:bookmarkStart w:id="154" w:name="ref-speakman2018choosing"/>
    <w:p>
      <w:pPr>
        <w:pStyle w:val="Bibliography"/>
      </w:pPr>
      <w:r>
        <w:t xml:space="preserve">Speakman, Robert J, Carla S Hadden, Matthew H Colvin, Justin Cramb, KC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54"/>
    <w:bookmarkStart w:id="156"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55">
        <w:r>
          <w:rPr>
            <w:rStyle w:val="Hyperlink"/>
          </w:rPr>
          <w:t xml:space="preserve">10.1093/cid/ciaa815</w:t>
        </w:r>
      </w:hyperlink>
      <w:r>
        <w:t xml:space="preserve">.</w:t>
      </w:r>
    </w:p>
    <w:bookmarkEnd w:id="156"/>
    <w:bookmarkStart w:id="158"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57">
        <w:r>
          <w:rPr>
            <w:rStyle w:val="Hyperlink"/>
          </w:rPr>
          <w:t xml:space="preserve">10.1111/j.1556-3502.2010.51904.x</w:t>
        </w:r>
      </w:hyperlink>
      <w:r>
        <w:t xml:space="preserve">.</w:t>
      </w:r>
    </w:p>
    <w:bookmarkEnd w:id="158"/>
    <w:bookmarkStart w:id="160"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59">
        <w:r>
          <w:rPr>
            <w:rStyle w:val="Hyperlink"/>
          </w:rPr>
          <w:t xml:space="preserve">10.1038/s41586-022-05222-x</w:t>
        </w:r>
      </w:hyperlink>
      <w:r>
        <w:t xml:space="preserve">, accessed November 1, 2024.</w:t>
      </w:r>
    </w:p>
    <w:bookmarkEnd w:id="160"/>
    <w:bookmarkStart w:id="161"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61"/>
    <w:bookmarkStart w:id="163"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62">
        <w:r>
          <w:rPr>
            <w:rStyle w:val="Hyperlink"/>
          </w:rPr>
          <w:t xml:space="preserve">10.1038/d41586-020-01656-3</w:t>
        </w:r>
      </w:hyperlink>
      <w:r>
        <w:t xml:space="preserve">.</w:t>
      </w:r>
    </w:p>
    <w:bookmarkEnd w:id="163"/>
    <w:bookmarkStart w:id="165"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64">
        <w:r>
          <w:rPr>
            <w:rStyle w:val="Hyperlink"/>
          </w:rPr>
          <w:t xml:space="preserve">10.1111/AN.1341</w:t>
        </w:r>
      </w:hyperlink>
      <w:r>
        <w:t xml:space="preserve">.</w:t>
      </w:r>
    </w:p>
    <w:bookmarkEnd w:id="165"/>
    <w:bookmarkEnd w:id="166"/>
    <w:p>
      <w:r>
        <w:br w:type="page"/>
      </w:r>
    </w:p>
    <w:bookmarkStart w:id="167" w:name="colophon"/>
    <w:p>
      <w:pPr>
        <w:pStyle w:val="Heading3"/>
      </w:pPr>
      <w:r>
        <w:t xml:space="preserve">Colophon</w:t>
      </w:r>
    </w:p>
    <w:p>
      <w:pPr>
        <w:pStyle w:val="FirstParagraph"/>
      </w:pPr>
      <w:r>
        <w:t xml:space="preserve">This report was generated on 2025-05-14 08:46:51.766705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4.5.0 (2025-04-11)</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2025-05-14</w:t>
      </w:r>
      <w:r>
        <w:br/>
      </w:r>
      <w:r>
        <w:rPr>
          <w:rStyle w:val="VerbatimChar"/>
        </w:rPr>
        <w:t xml:space="preserve"> pandoc   3.6.2 @ /usr/local/bin/ (via rmarkdown)</w:t>
      </w:r>
      <w:r>
        <w:br/>
      </w:r>
      <w:r>
        <w:rPr>
          <w:rStyle w:val="VerbatimChar"/>
        </w:rPr>
        <w:t xml:space="preserve"> quarto   1.4.424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askpass             1.2.1   2024-10-04 [1] CRAN (R 4.5.0)</w:t>
      </w:r>
      <w:r>
        <w:br/>
      </w:r>
      <w:r>
        <w:rPr>
          <w:rStyle w:val="VerbatimChar"/>
        </w:rPr>
        <w:t xml:space="preserve"> beeswarm            0.4.0   2021-06-01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cachem              1.1.0   2024-05-16 [1] CRAN (R 4.5.0)</w:t>
      </w:r>
      <w:r>
        <w:br/>
      </w:r>
      <w:r>
        <w:rPr>
          <w:rStyle w:val="VerbatimChar"/>
        </w:rPr>
        <w:t xml:space="preserve"> cellranger          1.1.0   2016-07-27 [1] CRAN (R 4.5.0)</w:t>
      </w:r>
      <w:r>
        <w:br/>
      </w:r>
      <w:r>
        <w:rPr>
          <w:rStyle w:val="VerbatimChar"/>
        </w:rPr>
        <w:t xml:space="preserve"> cli                 3.6.5   2025-04-23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curl                6.2.2   2025-03-24 [1] CRAN (R 4.5.0)</w:t>
      </w:r>
      <w:r>
        <w:br/>
      </w:r>
      <w:r>
        <w:rPr>
          <w:rStyle w:val="VerbatimChar"/>
        </w:rPr>
        <w:t xml:space="preserve"> data.table          1.17.0  2025-02-22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fiftystater       * 1.0.1   2025-05-14 [1] Github (wmurphyrd/fiftystater@28e7fa5)</w:t>
      </w:r>
      <w:r>
        <w:br/>
      </w:r>
      <w:r>
        <w:rPr>
          <w:rStyle w:val="VerbatimChar"/>
        </w:rPr>
        <w:t xml:space="preserve"> flextable         * 0.9.7   2024-10-27 [1] CRAN (R 4.5.0)</w:t>
      </w:r>
      <w:r>
        <w:br/>
      </w:r>
      <w:r>
        <w:rPr>
          <w:rStyle w:val="VerbatimChar"/>
        </w:rPr>
        <w:t xml:space="preserve"> fontBitstreamVera   0.1.1   2017-02-01 [1] CRAN (R 4.5.0)</w:t>
      </w:r>
      <w:r>
        <w:br/>
      </w:r>
      <w:r>
        <w:rPr>
          <w:rStyle w:val="VerbatimChar"/>
        </w:rPr>
        <w:t xml:space="preserve"> fontLiberation      0.1.0   2016-10-15 [1] CRAN (R 4.5.0)</w:t>
      </w:r>
      <w:r>
        <w:br/>
      </w:r>
      <w:r>
        <w:rPr>
          <w:rStyle w:val="VerbatimChar"/>
        </w:rPr>
        <w:t xml:space="preserve"> fontquiver          0.2.1   2017-02-01 [1] CRAN (R 4.5.0)</w:t>
      </w:r>
      <w:r>
        <w:br/>
      </w:r>
      <w:r>
        <w:rPr>
          <w:rStyle w:val="VerbatimChar"/>
        </w:rPr>
        <w:t xml:space="preserve"> forcats           * 1.0.0   2023-01-29 [1] CRAN (R 4.5.0)</w:t>
      </w:r>
      <w:r>
        <w:br/>
      </w:r>
      <w:r>
        <w:rPr>
          <w:rStyle w:val="VerbatimChar"/>
        </w:rPr>
        <w:t xml:space="preserve"> fs                  1.6.6   2025-04-12 [1] CRAN (R 4.5.0)</w:t>
      </w:r>
      <w:r>
        <w:br/>
      </w:r>
      <w:r>
        <w:rPr>
          <w:rStyle w:val="VerbatimChar"/>
        </w:rPr>
        <w:t xml:space="preserve"> gdtools             0.4.2   2025-03-27 [1] CRAN (R 4.5.0)</w:t>
      </w:r>
      <w:r>
        <w:br/>
      </w:r>
      <w:r>
        <w:rPr>
          <w:rStyle w:val="VerbatimChar"/>
        </w:rPr>
        <w:t xml:space="preserve"> generics            0.1.4   2025-05-09 [1] CRAN (R 4.5.0)</w:t>
      </w:r>
      <w:r>
        <w:br/>
      </w:r>
      <w:r>
        <w:rPr>
          <w:rStyle w:val="VerbatimChar"/>
        </w:rPr>
        <w:t xml:space="preserve"> ggbeeswarm        * 0.7.2   2023-04-29 [1] CRAN (R 4.5.0)</w:t>
      </w:r>
      <w:r>
        <w:br/>
      </w:r>
      <w:r>
        <w:rPr>
          <w:rStyle w:val="VerbatimChar"/>
        </w:rPr>
        <w:t xml:space="preserve"> ggplot2           * 3.5.2   2025-04-09 [1] CRAN (R 4.5.0)</w:t>
      </w:r>
      <w:r>
        <w:br/>
      </w:r>
      <w:r>
        <w:rPr>
          <w:rStyle w:val="VerbatimChar"/>
        </w:rPr>
        <w:t xml:space="preserve"> ggrepel           * 0.9.6   2024-09-07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hms                 1.1.3   2023-03-21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httr                1.4.7   2023-08-15 [1] CRAN (R 4.5.0)</w:t>
      </w:r>
      <w:r>
        <w:br/>
      </w:r>
      <w:r>
        <w:rPr>
          <w:rStyle w:val="VerbatimChar"/>
        </w:rPr>
        <w:t xml:space="preserve"> janitor             2.2.1   2024-12-22 [1] CRAN (R 4.5.0)</w:t>
      </w:r>
      <w:r>
        <w:br/>
      </w:r>
      <w:r>
        <w:rPr>
          <w:rStyle w:val="VerbatimChar"/>
        </w:rPr>
        <w:t xml:space="preserve"> jsonlite            2.0.0   2025-03-27 [1] CRAN (R 4.5.0)</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lattice             0.22-6  2024-03-20 [1] CRAN (R 4.5.0)</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magrittr            2.0.3   2022-03-30 [1] CRAN (R 4.5.0)</w:t>
      </w:r>
      <w:r>
        <w:br/>
      </w:r>
      <w:r>
        <w:rPr>
          <w:rStyle w:val="VerbatimChar"/>
        </w:rPr>
        <w:t xml:space="preserve"> mapproj             1.2.11  2023-01-12 [1] CRAN (R 4.5.0)</w:t>
      </w:r>
      <w:r>
        <w:br/>
      </w:r>
      <w:r>
        <w:rPr>
          <w:rStyle w:val="VerbatimChar"/>
        </w:rPr>
        <w:t xml:space="preserve"> maps                3.4.2.1 2024-11-10 [1] CRAN (R 4.5.0)</w:t>
      </w:r>
      <w:r>
        <w:br/>
      </w:r>
      <w:r>
        <w:rPr>
          <w:rStyle w:val="VerbatimChar"/>
        </w:rPr>
        <w:t xml:space="preserve"> Matrix              1.7-3   2025-03-11 [1] CRAN (R 4.5.0)</w:t>
      </w:r>
      <w:r>
        <w:br/>
      </w:r>
      <w:r>
        <w:rPr>
          <w:rStyle w:val="VerbatimChar"/>
        </w:rPr>
        <w:t xml:space="preserve"> memoise             2.0.1   2021-11-26 [1] CRAN (R 4.5.0)</w:t>
      </w:r>
      <w:r>
        <w:br/>
      </w:r>
      <w:r>
        <w:rPr>
          <w:rStyle w:val="VerbatimChar"/>
        </w:rPr>
        <w:t xml:space="preserve"> mgcv                1.9-1   2023-12-21 [1] CRAN (R 4.5.0)</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nlme                3.1-168 2025-03-31 [1] CRAN (R 4.5.0)</w:t>
      </w:r>
      <w:r>
        <w:br/>
      </w:r>
      <w:r>
        <w:rPr>
          <w:rStyle w:val="VerbatimChar"/>
        </w:rPr>
        <w:t xml:space="preserve"> officer             0.6.8   2025-03-23 [1] CRAN (R 4.5.0)</w:t>
      </w:r>
      <w:r>
        <w:br/>
      </w:r>
      <w:r>
        <w:rPr>
          <w:rStyle w:val="VerbatimChar"/>
        </w:rPr>
        <w:t xml:space="preserve"> openssl             2.3.2   2025-02-03 [1] CRAN (R 4.5.0)</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profvis             0.4.0   2024-09-20 [1] CRAN (R 4.5.0)</w:t>
      </w:r>
      <w:r>
        <w:br/>
      </w:r>
      <w:r>
        <w:rPr>
          <w:rStyle w:val="VerbatimChar"/>
        </w:rPr>
        <w:t xml:space="preserve"> promises            1.3.2   2024-11-28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ragg                1.4.0   2025-04-10 [1] CRAN (R 4.5.0)</w:t>
      </w:r>
      <w:r>
        <w:br/>
      </w:r>
      <w:r>
        <w:rPr>
          <w:rStyle w:val="VerbatimChar"/>
        </w:rPr>
        <w:t xml:space="preserve"> RColorBrewer        1.1-3   2022-04-03 [1] CRAN (R 4.5.0)</w:t>
      </w:r>
      <w:r>
        <w:br/>
      </w:r>
      <w:r>
        <w:rPr>
          <w:rStyle w:val="VerbatimChar"/>
        </w:rPr>
        <w:t xml:space="preserve"> Rcpp                1.0.14  2025-01-12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rgeolocate        * 1.4.2   2025-05-14 [1] Github (ironholds/rgeolocate@d2f550e)</w:t>
      </w:r>
      <w:r>
        <w:br/>
      </w:r>
      <w:r>
        <w:rPr>
          <w:rStyle w:val="VerbatimChar"/>
        </w:rPr>
        <w:t xml:space="preserve"> rlang               1.1.6   2025-04-11 [1] CRAN (R 4.5.0)</w:t>
      </w:r>
      <w:r>
        <w:br/>
      </w:r>
      <w:r>
        <w:rPr>
          <w:rStyle w:val="VerbatimChar"/>
        </w:rPr>
        <w:t xml:space="preserve"> rlist             * 0.4.6.2 2021-09-03 [1] CRAN (R 4.5.0)</w:t>
      </w:r>
      <w:r>
        <w:br/>
      </w:r>
      <w:r>
        <w:rPr>
          <w:rStyle w:val="VerbatimChar"/>
        </w:rPr>
        <w:t xml:space="preserve"> rmarkdown           2.29    2024-11-04 [1] CRAN (R 4.5.0)</w:t>
      </w:r>
      <w:r>
        <w:br/>
      </w:r>
      <w:r>
        <w:rPr>
          <w:rStyle w:val="VerbatimChar"/>
        </w:rPr>
        <w:t xml:space="preserve"> rprojroot           2.0.4   2023-11-05 [1] CRAN (R 4.5.0)</w:t>
      </w:r>
      <w:r>
        <w:br/>
      </w:r>
      <w:r>
        <w:rPr>
          <w:rStyle w:val="VerbatimChar"/>
        </w:rPr>
        <w:t xml:space="preserve"> rstudioapi          0.17.1  2024-10-22 [1] CRAN (R 4.5.0)</w:t>
      </w:r>
      <w:r>
        <w:br/>
      </w:r>
      <w:r>
        <w:rPr>
          <w:rStyle w:val="VerbatimChar"/>
        </w:rPr>
        <w:t xml:space="preserve"> rvest             * 1.0.4   2024-02-12 [1] CRAN (R 4.5.0)</w:t>
      </w:r>
      <w:r>
        <w:br/>
      </w:r>
      <w:r>
        <w:rPr>
          <w:rStyle w:val="VerbatimChar"/>
        </w:rPr>
        <w:t xml:space="preserve"> scales              1.4.0   2025-04-24 [1] CRAN (R 4.5.0)</w:t>
      </w:r>
      <w:r>
        <w:br/>
      </w:r>
      <w:r>
        <w:rPr>
          <w:rStyle w:val="VerbatimChar"/>
        </w:rPr>
        <w:t xml:space="preserve"> selectr             0.4-2   2019-11-20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snakecase           0.11.1  2023-08-27 [1] CRAN (R 4.5.0)</w:t>
      </w:r>
      <w:r>
        <w:br/>
      </w:r>
      <w:r>
        <w:rPr>
          <w:rStyle w:val="VerbatimChar"/>
        </w:rPr>
        <w:t xml:space="preserve"> stringi           * 1.8.7   2025-03-27 [1] CRAN (R 4.5.0)</w:t>
      </w:r>
      <w:r>
        <w:br/>
      </w:r>
      <w:r>
        <w:rPr>
          <w:rStyle w:val="VerbatimChar"/>
        </w:rPr>
        <w:t xml:space="preserve"> stringr           * 1.5.1   2023-11-14 [1] CRAN (R 4.5.0)</w:t>
      </w:r>
      <w:r>
        <w:br/>
      </w:r>
      <w:r>
        <w:rPr>
          <w:rStyle w:val="VerbatimChar"/>
        </w:rPr>
        <w:t xml:space="preserve"> svglite             2.2.1   2025-05-12 [1] CRAN (R 4.5.0)</w:t>
      </w:r>
      <w:r>
        <w:br/>
      </w:r>
      <w:r>
        <w:rPr>
          <w:rStyle w:val="VerbatimChar"/>
        </w:rPr>
        <w:t xml:space="preserve"> systemfonts         1.2.3   2025-04-30 [1] CRAN (R 4.5.0)</w:t>
      </w:r>
      <w:r>
        <w:br/>
      </w:r>
      <w:r>
        <w:rPr>
          <w:rStyle w:val="VerbatimChar"/>
        </w:rPr>
        <w:t xml:space="preserve"> textshaping         1.0.1   2025-05-01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uuid                1.2-1   2024-07-29 [1] CRAN (R 4.5.0)</w:t>
      </w:r>
      <w:r>
        <w:br/>
      </w:r>
      <w:r>
        <w:rPr>
          <w:rStyle w:val="VerbatimChar"/>
        </w:rPr>
        <w:t xml:space="preserve"> vctrs               0.6.5   2023-12-01 [1] CRAN (R 4.5.0)</w:t>
      </w:r>
      <w:r>
        <w:br/>
      </w:r>
      <w:r>
        <w:rPr>
          <w:rStyle w:val="VerbatimChar"/>
        </w:rPr>
        <w:t xml:space="preserve"> vipor               0.4.7   2023-12-18 [1] CRAN (R 4.5.0)</w:t>
      </w:r>
      <w:r>
        <w:br/>
      </w:r>
      <w:r>
        <w:rPr>
          <w:rStyle w:val="VerbatimChar"/>
        </w:rPr>
        <w:t xml:space="preserve"> viridis           * 0.6.5   2024-01-29 [1] CRAN (R 4.5.0)</w:t>
      </w:r>
      <w:r>
        <w:br/>
      </w:r>
      <w:r>
        <w:rPr>
          <w:rStyle w:val="VerbatimChar"/>
        </w:rPr>
        <w:t xml:space="preserve"> viridisLite       * 0.4.2   2023-05-02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xml2                1.3.8   2025-03-14 [1] CRAN (R 4.5.0)</w:t>
      </w:r>
      <w:r>
        <w:br/>
      </w:r>
      <w:r>
        <w:rPr>
          <w:rStyle w:val="VerbatimChar"/>
        </w:rPr>
        <w:t xml:space="preserve"> xtable              1.8-4   2019-04-21 [1] CRAN (R 4.5.0)</w:t>
      </w:r>
      <w:r>
        <w:br/>
      </w:r>
      <w:r>
        <w:rPr>
          <w:rStyle w:val="VerbatimChar"/>
        </w:rPr>
        <w:t xml:space="preserve"> yaml                2.3.10  2024-07-26 [1] CRAN (R 4.5.0)</w:t>
      </w:r>
      <w:r>
        <w:br/>
      </w:r>
      <w:r>
        <w:rPr>
          <w:rStyle w:val="VerbatimChar"/>
        </w:rPr>
        <w:t xml:space="preserve"> zip                 2.3.2   2025-02-01 [1] CRAN (R 4.5.0)</w:t>
      </w:r>
      <w:r>
        <w:br/>
      </w:r>
      <w:r>
        <w:br/>
      </w:r>
      <w:r>
        <w:rPr>
          <w:rStyle w:val="VerbatimChar"/>
        </w:rPr>
        <w:t xml:space="preserve"> [1] /Library/Frameworks/R.framework/Versions/4.5-x86_64/Resources/library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[d3ad369] 2025-05-06: update renv</w:t>
      </w:r>
    </w:p>
    <w:bookmarkEnd w:id="167"/>
    <w:bookmarkEnd w:id="16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42" Target="media/rId42.png" /><Relationship Type="http://schemas.openxmlformats.org/officeDocument/2006/relationships/image" Id="rId27" Target="media/rId27.png" /><Relationship Type="http://schemas.openxmlformats.org/officeDocument/2006/relationships/image" Id="rId56" Target="media/rId56.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22" Target="media/rId22.png" /><Relationship Type="http://schemas.openxmlformats.org/officeDocument/2006/relationships/hyperlink" Id="rId99" Target="https://arizona.academia.edu/LarsFogelin" TargetMode="External" /><Relationship Type="http://schemas.openxmlformats.org/officeDocument/2006/relationships/hyperlink" Id="rId143" Target="https://culanth.org/fieldsights/academic-precarity-in-american-anthropology" TargetMode="External" /><Relationship Type="http://schemas.openxmlformats.org/officeDocument/2006/relationships/hyperlink" Id="rId141" Target="https://doi.org/10.1002/ajpa.23457" TargetMode="External" /><Relationship Type="http://schemas.openxmlformats.org/officeDocument/2006/relationships/hyperlink" Id="rId123" Target="https://doi.org/10.1002/sres.2210" TargetMode="External" /><Relationship Type="http://schemas.openxmlformats.org/officeDocument/2006/relationships/hyperlink" Id="rId105" Target="https://doi.org/10.1002/sres.2324" TargetMode="External" /><Relationship Type="http://schemas.openxmlformats.org/officeDocument/2006/relationships/hyperlink" Id="rId101" Target="https://doi.org/10.1007/s10761-020-00577-1" TargetMode="External" /><Relationship Type="http://schemas.openxmlformats.org/officeDocument/2006/relationships/hyperlink" Id="rId131" Target="https://doi.org/10.1007/s10816-015-9272-9" TargetMode="External" /><Relationship Type="http://schemas.openxmlformats.org/officeDocument/2006/relationships/hyperlink" Id="rId95" Target="https://doi.org/10.1007/s11192-021-03917-y" TargetMode="External" /><Relationship Type="http://schemas.openxmlformats.org/officeDocument/2006/relationships/hyperlink" Id="rId86" Target="https://doi.org/10.1017/aap.2022.8" TargetMode="External" /><Relationship Type="http://schemas.openxmlformats.org/officeDocument/2006/relationships/hyperlink" Id="rId134" Target="https://doi.org/10.1017/aap.2023.21" TargetMode="External" /><Relationship Type="http://schemas.openxmlformats.org/officeDocument/2006/relationships/hyperlink" Id="rId97" Target="https://doi.org/10.1017/aaq.2021.18" TargetMode="External" /><Relationship Type="http://schemas.openxmlformats.org/officeDocument/2006/relationships/hyperlink" Id="rId121" Target="https://doi.org/10.1017/aaq.2022.59" TargetMode="External" /><Relationship Type="http://schemas.openxmlformats.org/officeDocument/2006/relationships/hyperlink" Id="rId80" Target="https://doi.org/10.1017/eaa.2022.41" TargetMode="External" /><Relationship Type="http://schemas.openxmlformats.org/officeDocument/2006/relationships/hyperlink" Id="rId162" Target="https://doi.org/10.1038/d41586-020-01656-3" TargetMode="External" /><Relationship Type="http://schemas.openxmlformats.org/officeDocument/2006/relationships/hyperlink" Id="rId159" Target="https://doi.org/10.1038/s41586-022-05222-x" TargetMode="External" /><Relationship Type="http://schemas.openxmlformats.org/officeDocument/2006/relationships/hyperlink" Id="rId92" Target="https://doi.org/10.1073/pnas.2117320119" TargetMode="External" /><Relationship Type="http://schemas.openxmlformats.org/officeDocument/2006/relationships/hyperlink" Id="rId155" Target="https://doi.org/10.1093/cid/ciaa815" TargetMode="External" /><Relationship Type="http://schemas.openxmlformats.org/officeDocument/2006/relationships/hyperlink" Id="rId115" Target="https://doi.org/10.1093/geront/gnw001" TargetMode="External" /><Relationship Type="http://schemas.openxmlformats.org/officeDocument/2006/relationships/hyperlink" Id="rId164" Target="https://doi.org/10.1111/AN.1341" TargetMode="External" /><Relationship Type="http://schemas.openxmlformats.org/officeDocument/2006/relationships/hyperlink" Id="rId117" Target="https://doi.org/10.1111/aman.13158" TargetMode="External" /><Relationship Type="http://schemas.openxmlformats.org/officeDocument/2006/relationships/hyperlink" Id="rId90" Target="https://doi.org/10.1111/aman.13781" TargetMode="External" /><Relationship Type="http://schemas.openxmlformats.org/officeDocument/2006/relationships/hyperlink" Id="rId111" Target="https://doi.org/10.1111/amet.12520" TargetMode="External" /><Relationship Type="http://schemas.openxmlformats.org/officeDocument/2006/relationships/hyperlink" Id="rId139" Target="https://doi.org/10.1111/cars.12252" TargetMode="External" /><Relationship Type="http://schemas.openxmlformats.org/officeDocument/2006/relationships/hyperlink" Id="rId75" Target="https://doi.org/10.1111/j.1460-2466.2010.01487.x" TargetMode="External" /><Relationship Type="http://schemas.openxmlformats.org/officeDocument/2006/relationships/hyperlink" Id="rId157" Target="https://doi.org/10.1111/j.1556-3502.2010.51904.x" TargetMode="External" /><Relationship Type="http://schemas.openxmlformats.org/officeDocument/2006/relationships/hyperlink" Id="rId84" Target="https://doi.org/10.1126/sciadv.1400005" TargetMode="External" /><Relationship Type="http://schemas.openxmlformats.org/officeDocument/2006/relationships/hyperlink" Id="rId129" Target="https://doi.org/10.1371/journal.pone.0285330" TargetMode="External" /><Relationship Type="http://schemas.openxmlformats.org/officeDocument/2006/relationships/hyperlink" Id="rId148" Target="https://doi.org/10.1515/opar-2022-0309" TargetMode="External" /><Relationship Type="http://schemas.openxmlformats.org/officeDocument/2006/relationships/hyperlink" Id="rId88" Target="https://doi.org/10.17226/26405" TargetMode="External" /><Relationship Type="http://schemas.openxmlformats.org/officeDocument/2006/relationships/hyperlink" Id="rId82" Target="https://doi.org/10.48550/arXiv.1803.00125" TargetMode="External" /><Relationship Type="http://schemas.openxmlformats.org/officeDocument/2006/relationships/hyperlink" Id="rId127" Target="https://doi.org/10.7326/M20-6306" TargetMode="External" /><Relationship Type="http://schemas.openxmlformats.org/officeDocument/2006/relationships/hyperlink" Id="rId69" Target="https://employers.americananthro.org/static-page/10285/job-board-policies/" TargetMode="External" /><Relationship Type="http://schemas.openxmlformats.org/officeDocument/2006/relationships/hyperlink" Id="rId152" Target="https://lawreview.law.ucdavis.edu/archives/55/4/diversity-statements.html" TargetMode="External" /><Relationship Type="http://schemas.openxmlformats.org/officeDocument/2006/relationships/hyperlink" Id="rId137" Target="https://nces.ed.gov/ipeds/" TargetMode="External" /><Relationship Type="http://schemas.openxmlformats.org/officeDocument/2006/relationships/hyperlink" Id="rId145" Target="https://www.R-project.org/" TargetMode="External" /><Relationship Type="http://schemas.openxmlformats.org/officeDocument/2006/relationships/hyperlink" Id="rId73" Target="https://www.aaup.org/report/2022-aaup-survey-tenure-practices" TargetMode="External" /><Relationship Type="http://schemas.openxmlformats.org/officeDocument/2006/relationships/hyperlink" Id="rId71" Target="https://www.aaup.org/report/annual-report-economic-status-profession-2021-22" TargetMode="External" /><Relationship Type="http://schemas.openxmlformats.org/officeDocument/2006/relationships/hyperlink" Id="rId103" Target="https://www.anthropology-news.org/articles/hello-to-tristes-tropes/" TargetMode="External" /><Relationship Type="http://schemas.openxmlformats.org/officeDocument/2006/relationships/hyperlink" Id="rId109"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99" Target="https://arizona.academia.edu/LarsFogelin" TargetMode="External" /><Relationship Type="http://schemas.openxmlformats.org/officeDocument/2006/relationships/hyperlink" Id="rId143" Target="https://culanth.org/fieldsights/academic-precarity-in-american-anthropology" TargetMode="External" /><Relationship Type="http://schemas.openxmlformats.org/officeDocument/2006/relationships/hyperlink" Id="rId141" Target="https://doi.org/10.1002/ajpa.23457" TargetMode="External" /><Relationship Type="http://schemas.openxmlformats.org/officeDocument/2006/relationships/hyperlink" Id="rId123" Target="https://doi.org/10.1002/sres.2210" TargetMode="External" /><Relationship Type="http://schemas.openxmlformats.org/officeDocument/2006/relationships/hyperlink" Id="rId105" Target="https://doi.org/10.1002/sres.2324" TargetMode="External" /><Relationship Type="http://schemas.openxmlformats.org/officeDocument/2006/relationships/hyperlink" Id="rId101" Target="https://doi.org/10.1007/s10761-020-00577-1" TargetMode="External" /><Relationship Type="http://schemas.openxmlformats.org/officeDocument/2006/relationships/hyperlink" Id="rId131" Target="https://doi.org/10.1007/s10816-015-9272-9" TargetMode="External" /><Relationship Type="http://schemas.openxmlformats.org/officeDocument/2006/relationships/hyperlink" Id="rId95" Target="https://doi.org/10.1007/s11192-021-03917-y" TargetMode="External" /><Relationship Type="http://schemas.openxmlformats.org/officeDocument/2006/relationships/hyperlink" Id="rId86" Target="https://doi.org/10.1017/aap.2022.8" TargetMode="External" /><Relationship Type="http://schemas.openxmlformats.org/officeDocument/2006/relationships/hyperlink" Id="rId134" Target="https://doi.org/10.1017/aap.2023.21" TargetMode="External" /><Relationship Type="http://schemas.openxmlformats.org/officeDocument/2006/relationships/hyperlink" Id="rId97" Target="https://doi.org/10.1017/aaq.2021.18" TargetMode="External" /><Relationship Type="http://schemas.openxmlformats.org/officeDocument/2006/relationships/hyperlink" Id="rId121" Target="https://doi.org/10.1017/aaq.2022.59" TargetMode="External" /><Relationship Type="http://schemas.openxmlformats.org/officeDocument/2006/relationships/hyperlink" Id="rId80" Target="https://doi.org/10.1017/eaa.2022.41" TargetMode="External" /><Relationship Type="http://schemas.openxmlformats.org/officeDocument/2006/relationships/hyperlink" Id="rId162" Target="https://doi.org/10.1038/d41586-020-01656-3" TargetMode="External" /><Relationship Type="http://schemas.openxmlformats.org/officeDocument/2006/relationships/hyperlink" Id="rId159" Target="https://doi.org/10.1038/s41586-022-05222-x" TargetMode="External" /><Relationship Type="http://schemas.openxmlformats.org/officeDocument/2006/relationships/hyperlink" Id="rId92" Target="https://doi.org/10.1073/pnas.2117320119" TargetMode="External" /><Relationship Type="http://schemas.openxmlformats.org/officeDocument/2006/relationships/hyperlink" Id="rId155" Target="https://doi.org/10.1093/cid/ciaa815" TargetMode="External" /><Relationship Type="http://schemas.openxmlformats.org/officeDocument/2006/relationships/hyperlink" Id="rId115" Target="https://doi.org/10.1093/geront/gnw001" TargetMode="External" /><Relationship Type="http://schemas.openxmlformats.org/officeDocument/2006/relationships/hyperlink" Id="rId164" Target="https://doi.org/10.1111/AN.1341" TargetMode="External" /><Relationship Type="http://schemas.openxmlformats.org/officeDocument/2006/relationships/hyperlink" Id="rId117" Target="https://doi.org/10.1111/aman.13158" TargetMode="External" /><Relationship Type="http://schemas.openxmlformats.org/officeDocument/2006/relationships/hyperlink" Id="rId90" Target="https://doi.org/10.1111/aman.13781" TargetMode="External" /><Relationship Type="http://schemas.openxmlformats.org/officeDocument/2006/relationships/hyperlink" Id="rId111" Target="https://doi.org/10.1111/amet.12520" TargetMode="External" /><Relationship Type="http://schemas.openxmlformats.org/officeDocument/2006/relationships/hyperlink" Id="rId139" Target="https://doi.org/10.1111/cars.12252" TargetMode="External" /><Relationship Type="http://schemas.openxmlformats.org/officeDocument/2006/relationships/hyperlink" Id="rId75" Target="https://doi.org/10.1111/j.1460-2466.2010.01487.x" TargetMode="External" /><Relationship Type="http://schemas.openxmlformats.org/officeDocument/2006/relationships/hyperlink" Id="rId157" Target="https://doi.org/10.1111/j.1556-3502.2010.51904.x" TargetMode="External" /><Relationship Type="http://schemas.openxmlformats.org/officeDocument/2006/relationships/hyperlink" Id="rId84" Target="https://doi.org/10.1126/sciadv.1400005" TargetMode="External" /><Relationship Type="http://schemas.openxmlformats.org/officeDocument/2006/relationships/hyperlink" Id="rId129" Target="https://doi.org/10.1371/journal.pone.0285330" TargetMode="External" /><Relationship Type="http://schemas.openxmlformats.org/officeDocument/2006/relationships/hyperlink" Id="rId148" Target="https://doi.org/10.1515/opar-2022-0309" TargetMode="External" /><Relationship Type="http://schemas.openxmlformats.org/officeDocument/2006/relationships/hyperlink" Id="rId88" Target="https://doi.org/10.17226/26405" TargetMode="External" /><Relationship Type="http://schemas.openxmlformats.org/officeDocument/2006/relationships/hyperlink" Id="rId82" Target="https://doi.org/10.48550/arXiv.1803.00125" TargetMode="External" /><Relationship Type="http://schemas.openxmlformats.org/officeDocument/2006/relationships/hyperlink" Id="rId127" Target="https://doi.org/10.7326/M20-6306" TargetMode="External" /><Relationship Type="http://schemas.openxmlformats.org/officeDocument/2006/relationships/hyperlink" Id="rId69" Target="https://employers.americananthro.org/static-page/10285/job-board-policies/" TargetMode="External" /><Relationship Type="http://schemas.openxmlformats.org/officeDocument/2006/relationships/hyperlink" Id="rId152" Target="https://lawreview.law.ucdavis.edu/archives/55/4/diversity-statements.html" TargetMode="External" /><Relationship Type="http://schemas.openxmlformats.org/officeDocument/2006/relationships/hyperlink" Id="rId137" Target="https://nces.ed.gov/ipeds/" TargetMode="External" /><Relationship Type="http://schemas.openxmlformats.org/officeDocument/2006/relationships/hyperlink" Id="rId145" Target="https://www.R-project.org/" TargetMode="External" /><Relationship Type="http://schemas.openxmlformats.org/officeDocument/2006/relationships/hyperlink" Id="rId73" Target="https://www.aaup.org/report/2022-aaup-survey-tenure-practices" TargetMode="External" /><Relationship Type="http://schemas.openxmlformats.org/officeDocument/2006/relationships/hyperlink" Id="rId71" Target="https://www.aaup.org/report/annual-report-economic-status-profession-2021-22" TargetMode="External" /><Relationship Type="http://schemas.openxmlformats.org/officeDocument/2006/relationships/hyperlink" Id="rId103" Target="https://www.anthropology-news.org/articles/hello-to-tristes-tropes/" TargetMode="External" /><Relationship Type="http://schemas.openxmlformats.org/officeDocument/2006/relationships/hyperlink" Id="rId109"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2025-05-14T15:46:57Z</dcterms:created>
  <dcterms:modified xsi:type="dcterms:W3CDTF">2025-05-14T15:46:57Z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May 14,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